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54514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F54514" w:rsidRPr="00F54514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9B01AF" w:rsidRPr="009B01AF" w:rsidRDefault="009B01AF" w:rsidP="009B01AF">
      <w:pPr>
        <w:keepNext/>
        <w:outlineLvl w:val="5"/>
        <w:rPr>
          <w:rFonts w:ascii="Arial" w:hAnsi="Arial" w:cs="Arial"/>
          <w:b/>
          <w:bCs/>
          <w:sz w:val="22"/>
        </w:rPr>
      </w:pPr>
      <w:r w:rsidRPr="009B01AF">
        <w:rPr>
          <w:rFonts w:ascii="Arial" w:hAnsi="Arial" w:cs="Arial"/>
          <w:b/>
          <w:bCs/>
          <w:sz w:val="22"/>
        </w:rPr>
        <w:t>Center Management Control 999</w:t>
      </w:r>
    </w:p>
    <w:p w:rsidR="009B01AF" w:rsidRPr="009B01AF" w:rsidRDefault="009B01AF" w:rsidP="009B01AF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Automatische Prüfeinrichtung gem. DIN VDE 0108 zur zentralen Leuchtenüberwachung von bis zu 40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LPS PI oder/und LPS NA und zusätzlich Einzelbatterieleuchten, Notlichteinbauelementen und Notlicht-Versorgungsgeräten an einem 2adrigen, überspannungs- und verpolsicheren Bussystem.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Permanenter, bidirektionaler Datenaustausch mit uneingeschränkter Funktionsbereitschaft aller angeschlossenen Verbraucher bei Störungen des Bussystems oder des Bedientableaus.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Menüführung und Anzeige aller Informationen auf einem übersichtlichen, 4 x 40 Zeichen großem,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 beleuchtetem LCD -  Display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integrierte RS 232 - Schnittstelle und einer Centronix-Schnittstelle zum Anschluss eines Druckers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Anschluss einer Tastatur zur Texteingabe möglich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bedienerfreundliches Dialogprogramm mit Menüführung zur automatische Leuchtenidentifikation im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System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Programmierung der angeschlossenen Geräte einschließlich detaillierter Ortsangabe als Text ( z.B.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Flur 2.OG, Wand )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manuellen Prüfung von einzelnen Leuchten oder Gruppen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Anzeige einer aktuellen Fehler- und Statusübersicht als Sammelmeldung für jeweils 40 Leuchten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Anzeige aller Meldungen und Protokolle in Klartext mit Datums- und Uhrzeitangabe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integrierte, kalibrierbare Uhr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empfohlene Busleitung &gt; IY ( St ) Y 2 x 2 x 0,8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Untermenü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 zur gezielten Anzeige und Ausdruck beliebiger Tagesprotokolle.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 Anzeige und Ausdruck der Fehlerprotokolle je Verbraucher aus einem frei definierbaren Zeitraum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Speicherung aller Protokolle und Meldungen für mindestens 2 Jahre.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Schutzschaltung zur unbegrenzten Sicherung der Meldungen und Programmkonfigurationen bei Ausfall oder Abschaltung der Stromversorgung.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/>
        <w:ind w:left="707" w:firstLine="709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9B01AF">
        <w:rPr>
          <w:rFonts w:ascii="Arial" w:hAnsi="Arial" w:cs="Arial"/>
          <w:b/>
          <w:lang w:val="en-US"/>
        </w:rPr>
        <w:t>Fabrikat :</w:t>
      </w:r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  <w:t>ASE GmbH</w:t>
      </w:r>
    </w:p>
    <w:p w:rsidR="009B01AF" w:rsidRPr="009B01AF" w:rsidRDefault="009B01AF" w:rsidP="009B01A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9B01AF">
        <w:rPr>
          <w:rFonts w:ascii="Arial" w:hAnsi="Arial" w:cs="Arial"/>
          <w:b/>
          <w:bCs/>
          <w:lang w:val="en-US"/>
        </w:rPr>
        <w:t xml:space="preserve">Typ: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bCs/>
          <w:lang w:val="en-US"/>
        </w:rPr>
        <w:tab/>
        <w:t xml:space="preserve">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color w:val="000000"/>
          <w:lang w:val="en-US"/>
        </w:rPr>
        <w:t>CMC 999</w:t>
      </w:r>
    </w:p>
    <w:p w:rsidR="009B01AF" w:rsidRPr="009B01AF" w:rsidRDefault="009B01AF" w:rsidP="009B01AF">
      <w:pPr>
        <w:spacing w:after="120"/>
        <w:contextualSpacing/>
        <w:rPr>
          <w:rFonts w:ascii="Arial" w:hAnsi="Arial" w:cs="Arial"/>
          <w:lang w:val="en-US"/>
        </w:rPr>
      </w:pPr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</w:r>
    </w:p>
    <w:p w:rsidR="009B01AF" w:rsidRPr="009B01AF" w:rsidRDefault="009B01AF" w:rsidP="009B01AF">
      <w:pPr>
        <w:spacing w:after="120"/>
        <w:ind w:left="995" w:hanging="995"/>
        <w:contextualSpacing/>
        <w:rPr>
          <w:rFonts w:ascii="Arial" w:hAnsi="Arial" w:cs="Arial"/>
        </w:rPr>
      </w:pP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</w:rPr>
        <w:t>Liefern und betriebsfertig montieren</w:t>
      </w:r>
    </w:p>
    <w:p w:rsidR="009B01AF" w:rsidRPr="009B01AF" w:rsidRDefault="009B01AF" w:rsidP="00F54514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B01AF" w:rsidRPr="009B01AF" w:rsidRDefault="009B01AF" w:rsidP="00F54514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r w:rsidRPr="009B01AF">
        <w:rPr>
          <w:rFonts w:ascii="Arial" w:hAnsi="Arial" w:cs="Arial"/>
          <w:color w:val="000000"/>
        </w:rPr>
        <w:t xml:space="preserve">Menge:  1 Stk                                      </w:t>
      </w:r>
      <w:r w:rsidRPr="009B01AF">
        <w:rPr>
          <w:rFonts w:ascii="Arial" w:hAnsi="Arial" w:cs="Arial"/>
          <w:color w:val="000000"/>
        </w:rPr>
        <w:tab/>
        <w:t xml:space="preserve"> EP: .................... €</w:t>
      </w:r>
      <w:r w:rsidRPr="009B01AF">
        <w:rPr>
          <w:rFonts w:ascii="Arial" w:hAnsi="Arial" w:cs="Arial"/>
          <w:color w:val="000000"/>
        </w:rPr>
        <w:tab/>
        <w:t>GP: .................... €</w:t>
      </w:r>
    </w:p>
    <w:p w:rsidR="009B01AF" w:rsidRPr="009B01AF" w:rsidRDefault="009B01AF" w:rsidP="009B01AF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Pr="00407F53" w:rsidRDefault="00407F53" w:rsidP="00407F53">
      <w:pPr>
        <w:keepNext/>
        <w:outlineLvl w:val="5"/>
        <w:rPr>
          <w:rFonts w:ascii="Arial" w:hAnsi="Arial" w:cs="Arial"/>
          <w:b/>
          <w:bCs/>
          <w:sz w:val="22"/>
        </w:rPr>
      </w:pPr>
      <w:r w:rsidRPr="00407F53">
        <w:rPr>
          <w:rFonts w:ascii="Arial" w:hAnsi="Arial" w:cs="Arial"/>
          <w:b/>
          <w:bCs/>
          <w:sz w:val="22"/>
        </w:rPr>
        <w:t>Center Management Control LPS</w:t>
      </w:r>
    </w:p>
    <w:p w:rsidR="00407F53" w:rsidRPr="00407F53" w:rsidRDefault="00407F53" w:rsidP="00407F53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Automatische Prüfeinrichtung gem. DIN VDE 0108 zur zentralen Leuchtenüberwachung von bis zu 40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LPS PI oder/und LPS NA und zusätzlich Einzelbatterieleuchten, Notlichteinbauelementen und Notlicht-Versorgungsgeräten an einem 2adrigen, überspannungs- und verpolsicheren Bussystem.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Permanenter, bidirektionaler Datenaustausch mit uneingeschränkter Funktionsbereitschaft aller angeschlossenen Verbraucher bei Störungen des Bussystems oder des Bedientableaus.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Menüführung und Anzeige aller Informationen auf einem übersichtlichen, 4 x 40 Zeichen großem,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 beleuchtetem LCD -  Display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integrierte RS 232 - Schnittstelle und einer Centronix-Schnittstelle zum Anschluss eines Druckers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Anschluss einer Tastatur zur Texteingabe möglich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bedienerfreundliches Dialogprogramm mit Menüführung zur automatische Leuchtenidentifikation im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System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-  Programmierung der angeschlossenen Geräte einschließlich detaillierter Ortsangabe als Text ( z.B.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Flur 2.OG, Wand )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-  manuellen Prüfung von einzelnen Leuchten oder Gruppen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Anzeige einer aktuellen Fehler- und Statusübersicht als Sammelmeldung für jeweils 40 Leuchten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Anzeige aller Meldungen und Protokolle in Klartext mit Datums- und Uhrzeitangabe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integrierte, kalibrierbare Uhr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empfohlene Busleitung &gt; IY ( St ) Y 2 x 2 x 0,8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Untermenü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 zur gezielten Anzeige und Ausdruck beliebiger Tagesprotokolle.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 Anzeige und Ausdruck der Fehlerprotokolle je Verbraucher aus einem frei definierbaren Zeitraum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Speicherung aller Protokolle und Meldungen für mindestens 2 Jahre.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Schutzschaltung zur unbegrenzten Sicherung der Meldungen und Programmkonfigurationen bei Ausfall oder Abschaltung der Stromversorgung.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/>
        <w:ind w:left="707" w:firstLine="709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07F53">
        <w:rPr>
          <w:rFonts w:ascii="Arial" w:hAnsi="Arial" w:cs="Arial"/>
          <w:b/>
          <w:lang w:val="en-US"/>
        </w:rPr>
        <w:t>Fabrikat :</w:t>
      </w:r>
      <w:r w:rsidRPr="00407F53">
        <w:rPr>
          <w:rFonts w:ascii="Arial" w:hAnsi="Arial" w:cs="Arial"/>
          <w:b/>
          <w:lang w:val="en-US"/>
        </w:rPr>
        <w:tab/>
      </w:r>
      <w:r w:rsidRPr="00407F53">
        <w:rPr>
          <w:rFonts w:ascii="Arial" w:hAnsi="Arial" w:cs="Arial"/>
          <w:b/>
          <w:lang w:val="en-US"/>
        </w:rPr>
        <w:tab/>
        <w:t>ASE GmbH</w:t>
      </w:r>
    </w:p>
    <w:p w:rsidR="00407F53" w:rsidRPr="00407F53" w:rsidRDefault="00407F53" w:rsidP="00407F53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07F53">
        <w:rPr>
          <w:rFonts w:ascii="Arial" w:hAnsi="Arial" w:cs="Arial"/>
          <w:b/>
          <w:bCs/>
          <w:lang w:val="en-US"/>
        </w:rPr>
        <w:t xml:space="preserve">Typ: </w:t>
      </w:r>
      <w:r w:rsidRPr="00407F53">
        <w:rPr>
          <w:rFonts w:ascii="Arial" w:hAnsi="Arial" w:cs="Arial"/>
          <w:b/>
          <w:bCs/>
          <w:lang w:val="en-US"/>
        </w:rPr>
        <w:tab/>
      </w:r>
      <w:r w:rsidRPr="00407F53">
        <w:rPr>
          <w:rFonts w:ascii="Arial" w:hAnsi="Arial" w:cs="Arial"/>
          <w:b/>
          <w:bCs/>
          <w:lang w:val="en-US"/>
        </w:rPr>
        <w:tab/>
        <w:t xml:space="preserve"> </w:t>
      </w:r>
      <w:r w:rsidRPr="00407F53">
        <w:rPr>
          <w:rFonts w:ascii="Arial" w:hAnsi="Arial" w:cs="Arial"/>
          <w:b/>
          <w:bCs/>
          <w:lang w:val="en-US"/>
        </w:rPr>
        <w:tab/>
      </w:r>
      <w:r w:rsidRPr="00407F53">
        <w:rPr>
          <w:rFonts w:ascii="Arial" w:hAnsi="Arial" w:cs="Arial"/>
          <w:b/>
          <w:color w:val="000000"/>
          <w:lang w:val="en-US"/>
        </w:rPr>
        <w:t>CMC-LPS</w:t>
      </w:r>
    </w:p>
    <w:p w:rsidR="00407F53" w:rsidRPr="00407F53" w:rsidRDefault="00407F53" w:rsidP="00407F53">
      <w:pPr>
        <w:spacing w:after="120"/>
        <w:contextualSpacing/>
        <w:rPr>
          <w:rFonts w:ascii="Arial" w:hAnsi="Arial" w:cs="Arial"/>
          <w:lang w:val="en-US"/>
        </w:rPr>
      </w:pPr>
      <w:r w:rsidRPr="00407F53">
        <w:rPr>
          <w:rFonts w:ascii="Arial" w:hAnsi="Arial" w:cs="Arial"/>
          <w:b/>
          <w:lang w:val="en-US"/>
        </w:rPr>
        <w:tab/>
      </w:r>
      <w:r w:rsidRPr="00407F53">
        <w:rPr>
          <w:rFonts w:ascii="Arial" w:hAnsi="Arial" w:cs="Arial"/>
          <w:b/>
          <w:lang w:val="en-US"/>
        </w:rPr>
        <w:tab/>
      </w:r>
    </w:p>
    <w:p w:rsidR="00407F53" w:rsidRPr="00407F53" w:rsidRDefault="00407F53" w:rsidP="00407F53">
      <w:pPr>
        <w:spacing w:after="120"/>
        <w:ind w:left="995" w:hanging="995"/>
        <w:contextualSpacing/>
        <w:rPr>
          <w:rFonts w:ascii="Arial" w:hAnsi="Arial" w:cs="Arial"/>
        </w:rPr>
      </w:pPr>
      <w:r w:rsidRPr="00407F53">
        <w:rPr>
          <w:rFonts w:ascii="Arial" w:hAnsi="Arial" w:cs="Arial"/>
          <w:lang w:val="en-US"/>
        </w:rPr>
        <w:tab/>
      </w:r>
      <w:r w:rsidRPr="00407F53">
        <w:rPr>
          <w:rFonts w:ascii="Arial" w:hAnsi="Arial" w:cs="Arial"/>
          <w:lang w:val="en-US"/>
        </w:rPr>
        <w:tab/>
      </w:r>
      <w:r w:rsidRPr="00407F53">
        <w:rPr>
          <w:rFonts w:ascii="Arial" w:hAnsi="Arial" w:cs="Arial"/>
        </w:rPr>
        <w:t>Liefern und betriebsfertig montieren</w:t>
      </w:r>
    </w:p>
    <w:p w:rsidR="00407F53" w:rsidRPr="00407F53" w:rsidRDefault="00407F53" w:rsidP="00F54514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Pr="00407F53" w:rsidRDefault="00407F53" w:rsidP="00F54514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r w:rsidRPr="00407F53">
        <w:rPr>
          <w:rFonts w:ascii="Arial" w:hAnsi="Arial" w:cs="Arial"/>
          <w:color w:val="000000"/>
        </w:rPr>
        <w:t xml:space="preserve">Menge:  1 Stk                                      </w:t>
      </w:r>
      <w:r w:rsidRPr="00407F53">
        <w:rPr>
          <w:rFonts w:ascii="Arial" w:hAnsi="Arial" w:cs="Arial"/>
          <w:color w:val="000000"/>
        </w:rPr>
        <w:tab/>
        <w:t xml:space="preserve"> EP: .................... €</w:t>
      </w:r>
      <w:r w:rsidRPr="00407F53">
        <w:rPr>
          <w:rFonts w:ascii="Arial" w:hAnsi="Arial" w:cs="Arial"/>
          <w:color w:val="000000"/>
        </w:rPr>
        <w:tab/>
        <w:t>GP: .................... €</w:t>
      </w:r>
    </w:p>
    <w:p w:rsidR="00407F53" w:rsidRPr="00407F53" w:rsidRDefault="00407F53" w:rsidP="00407F53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07F53" w:rsidRDefault="00407F53" w:rsidP="009B01AF">
      <w:pPr>
        <w:rPr>
          <w:lang w:val="en-GB"/>
        </w:rPr>
      </w:pPr>
      <w:bookmarkStart w:id="0" w:name="_GoBack"/>
      <w:bookmarkEnd w:id="0"/>
    </w:p>
    <w:sectPr w:rsidR="00407F53" w:rsidSect="00F54514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FE" w:rsidRDefault="003029FE">
      <w:r>
        <w:separator/>
      </w:r>
    </w:p>
  </w:endnote>
  <w:endnote w:type="continuationSeparator" w:id="0">
    <w:p w:rsidR="003029FE" w:rsidRDefault="0030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545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545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5AA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FE" w:rsidRDefault="003029FE">
      <w:r>
        <w:separator/>
      </w:r>
    </w:p>
  </w:footnote>
  <w:footnote w:type="continuationSeparator" w:id="0">
    <w:p w:rsidR="003029FE" w:rsidRDefault="00302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68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69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4B25AA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B1A94"/>
    <w:rsid w:val="003029FE"/>
    <w:rsid w:val="00370EE1"/>
    <w:rsid w:val="00407F53"/>
    <w:rsid w:val="00450089"/>
    <w:rsid w:val="004B25AA"/>
    <w:rsid w:val="00552E98"/>
    <w:rsid w:val="005F2AF7"/>
    <w:rsid w:val="006B61A5"/>
    <w:rsid w:val="006E49AF"/>
    <w:rsid w:val="006F2BDA"/>
    <w:rsid w:val="00757F11"/>
    <w:rsid w:val="007B54F0"/>
    <w:rsid w:val="007E3175"/>
    <w:rsid w:val="00807372"/>
    <w:rsid w:val="008936FA"/>
    <w:rsid w:val="008B3C16"/>
    <w:rsid w:val="009A7A1C"/>
    <w:rsid w:val="009B01AF"/>
    <w:rsid w:val="00A869D0"/>
    <w:rsid w:val="00A876E3"/>
    <w:rsid w:val="00AA2B69"/>
    <w:rsid w:val="00AB4123"/>
    <w:rsid w:val="00B749D1"/>
    <w:rsid w:val="00BB09BD"/>
    <w:rsid w:val="00C0135B"/>
    <w:rsid w:val="00C04793"/>
    <w:rsid w:val="00CF2C95"/>
    <w:rsid w:val="00D15AEC"/>
    <w:rsid w:val="00D74727"/>
    <w:rsid w:val="00DB4671"/>
    <w:rsid w:val="00E60C5B"/>
    <w:rsid w:val="00E77216"/>
    <w:rsid w:val="00F057C6"/>
    <w:rsid w:val="00F54514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14"/>
  </w:style>
  <w:style w:type="paragraph" w:styleId="Heading1">
    <w:name w:val="heading 1"/>
    <w:basedOn w:val="Normal"/>
    <w:next w:val="Normal"/>
    <w:link w:val="Heading1Char"/>
    <w:qFormat/>
    <w:rsid w:val="00F545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54514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F54514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F54514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F54514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F54514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F54514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F54514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F54514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F54514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F545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F54514"/>
  </w:style>
  <w:style w:type="paragraph" w:styleId="Header">
    <w:name w:val="header"/>
    <w:basedOn w:val="Normal"/>
    <w:semiHidden/>
    <w:rsid w:val="00F54514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F54514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F54514"/>
    <w:rPr>
      <w:color w:val="0000FF"/>
      <w:u w:val="single"/>
    </w:rPr>
  </w:style>
  <w:style w:type="paragraph" w:styleId="BodyText">
    <w:name w:val="Body Text"/>
    <w:basedOn w:val="Normal"/>
    <w:semiHidden/>
    <w:rsid w:val="00F54514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F54514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F54514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F54514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F54514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4149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2014-01-02T11:50:00Z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